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mallCaps w:val="1"/>
          <w:sz w:val="24"/>
          <w:szCs w:val="24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914400</wp:posOffset>
                </wp:positionH>
                <wp:positionV relativeFrom="margin">
                  <wp:posOffset>1266825</wp:posOffset>
                </wp:positionV>
                <wp:extent cx="6286500" cy="8320405"/>
                <wp:effectExtent b="0" l="0" r="0" t="0"/>
                <wp:wrapNone/>
                <wp:docPr id="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6" name="Shape 6"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7" name="Shape 7"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  <w:t xml:space="preserve">Framework 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  <w:t xml:space="preserve">Award Form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1f497d"/>
                                      <w:sz w:val="72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b" bIns="45700" lIns="91425" spcFirstLastPara="1" rIns="91425" wrap="square" tIns="4570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914400</wp:posOffset>
                </wp:positionH>
                <wp:positionV relativeFrom="margin">
                  <wp:posOffset>1266825</wp:posOffset>
                </wp:positionV>
                <wp:extent cx="6286500" cy="8320405"/>
                <wp:effectExtent b="0" l="0" r="0" t="0"/>
                <wp:wrapNone/>
                <wp:docPr id="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6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Contract. It summarises the main features of the procurement and includes CCS and the Supplier’s contact details.</w:t>
      </w:r>
    </w:p>
    <w:tbl>
      <w:tblPr>
        <w:tblStyle w:val="Table1"/>
        <w:tblW w:w="10530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390"/>
        <w:gridCol w:w="2070"/>
        <w:gridCol w:w="8070"/>
        <w:tblGridChange w:id="0">
          <w:tblGrid>
            <w:gridCol w:w="390"/>
            <w:gridCol w:w="2070"/>
            <w:gridCol w:w="8070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91.357421875000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C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D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[Insert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 (registered name if registered)]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E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0F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 registered address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0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registration number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2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SID4GOV ID if you have one</w:t>
                  </w: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4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6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0" w:hanging="34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Contract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framework contract between CCS and the Supplier allows the Supplier to be considered for Call-off Contracts to supply the Deliverables.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opportunity is advertised in the Contract Notice in the Find a Tender Service reference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reference number] (FTS Contract Notice).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1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Day Month Year]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Day Month Year]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 about extensions of this contract]</w:t>
            </w:r>
          </w:p>
          <w:p w:rsidR="00000000" w:rsidDel="00000000" w:rsidP="00000000" w:rsidRDefault="00000000" w:rsidRPr="00000000" w14:paraId="0000002F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Up to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Day Month Year]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936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[direct award]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936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[further competition]</w:t>
            </w:r>
          </w:p>
          <w:p w:rsidR="00000000" w:rsidDel="00000000" w:rsidP="00000000" w:rsidRDefault="00000000" w:rsidRPr="00000000" w14:paraId="00000035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6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688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39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(together these documents form the ‘the Framework Contract’)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i w:val="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1 (Definitions)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RM6269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11 (Processing Data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RM6269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 following Schedules f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or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RM6269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(in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equal order of precedence):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numPr>
                <w:ilvl w:val="1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Call-Off Schedule 3 (Continuous Improvement)]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4 (Call-Off Tender)</w:t>
              <w:tab/>
              <w:tab/>
              <w:t xml:space="preserve">]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5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Pricing Details)</w:t>
              <w:tab/>
              <w:t xml:space="preserve">           ]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6 (ICT Services) </w:t>
              <w:tab/>
              <w:tab/>
              <w:t xml:space="preserve">]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7 (Key Supplier Staff)</w:t>
              <w:tab/>
              <w:tab/>
              <w:t xml:space="preserve">]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8 (Business Continuity and Disaster Recovery) ]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9 (Security)</w:t>
              <w:tab/>
              <w:tab/>
              <w:t xml:space="preserve"> </w:t>
              <w:tab/>
              <w:t xml:space="preserve">]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10 (Exit Management) </w:t>
              <w:tab/>
              <w:t xml:space="preserve">]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12 (Clustering) </w:t>
              <w:tab/>
              <w:tab/>
              <w:t xml:space="preserve">]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13 (Implementation Plan and Testing)]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14 (Service Levels) </w:t>
              <w:tab/>
              <w:tab/>
              <w:t xml:space="preserve">]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15 (Call-Off Contract Management)]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16 (Benchmarking) </w:t>
              <w:tab/>
              <w:tab/>
              <w:t xml:space="preserve">]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17 (MOD Terms) </w:t>
              <w:tab/>
              <w:tab/>
              <w:t xml:space="preserve">]              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18 (Background Checks) </w:t>
              <w:tab/>
              <w:t xml:space="preserve">]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 19 (Scottish Law)</w:t>
              <w:tab/>
              <w:tab/>
              <w:t xml:space="preserve">]     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 20 (Call-Off Specification)    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[Call-Off Schedule 21 (Northern Ireland Law)    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[Call-Off Schedule 23 (HMRC Terms)               ]  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numPr>
                <w:ilvl w:val="2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before="0" w:line="259" w:lineRule="auto"/>
              <w:ind w:left="21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 24 (</w:t>
              <w:tab/>
              <w:tab/>
              <w:t xml:space="preserve">)</w:t>
              <w:tab/>
              <w:t xml:space="preserve">         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[Framework Schedule 9 (Cyber Essentials Scheme)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[Joint Schedule 6 (Key Subcontractors)]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[Joint Schedule 7 (Financial Difficulties)]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[Joint Schedule 8 (Guarantee)]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[Joint Schedule 9 (Minimum Standards of Reliability)]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 Core Terms (version 3.0.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Joint Schedule 5 (Corporate Social Responsibility)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RM6269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5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Schedule 2 (Framework Tender)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RM6269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0" w:hRule="atLeast"/>
          <w:tblHeader w:val="0"/>
        </w:trPr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Special Terms</w:t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information about the prices]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Essentials Certification</w:t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Cyber Essentials Scheme Basic Certificate. Details in Framework Schedule F9 (Cyber Essentials Scheme)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VAT,1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%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690" w:hRule="atLeast"/>
          <w:tblHeader w:val="0"/>
        </w:trPr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Data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Protection Liability Cap</w:t>
            </w:r>
          </w:p>
        </w:tc>
        <w:tc>
          <w:tcPr/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£10,000,000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6">
            <w:pPr>
              <w:spacing w:after="120" w:before="12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Key Subcontractor 1</w:t>
            </w:r>
          </w:p>
          <w:p w:rsidR="00000000" w:rsidDel="00000000" w:rsidP="00000000" w:rsidRDefault="00000000" w:rsidRPr="00000000" w14:paraId="000000B7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 (Registered name 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8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Registration number (if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number]</w:t>
            </w:r>
          </w:p>
          <w:p w:rsidR="00000000" w:rsidDel="00000000" w:rsidP="00000000" w:rsidRDefault="00000000" w:rsidRPr="00000000" w14:paraId="000000B9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Role of Subcontractor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role]</w:t>
            </w:r>
          </w:p>
          <w:p w:rsidR="00000000" w:rsidDel="00000000" w:rsidP="00000000" w:rsidRDefault="00000000" w:rsidRPr="00000000" w14:paraId="000000BA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[Guidance: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copy above lines as needed]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name]</w:t>
            </w:r>
          </w:p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i w:val="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i w:val="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C3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C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C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D3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1"/>
    <w:bookmarkEnd w:id="1"/>
    <w:p w:rsidR="00000000" w:rsidDel="00000000" w:rsidP="00000000" w:rsidRDefault="00000000" w:rsidRPr="00000000" w14:paraId="000000D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92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D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1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RM6269</w:t>
      <w:tab/>
      <w:t xml:space="preserve">                                           </w:t>
    </w:r>
  </w:p>
  <w:p w:rsidR="00000000" w:rsidDel="00000000" w:rsidP="00000000" w:rsidRDefault="00000000" w:rsidRPr="00000000" w14:paraId="000000E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v3.8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4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Framework Award Form</w:t>
    </w:r>
  </w:p>
  <w:p w:rsidR="00000000" w:rsidDel="00000000" w:rsidP="00000000" w:rsidRDefault="00000000" w:rsidRPr="00000000" w14:paraId="000000D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D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Framework Award Form</w:t>
    </w:r>
  </w:p>
  <w:p w:rsidR="00000000" w:rsidDel="00000000" w:rsidP="00000000" w:rsidRDefault="00000000" w:rsidRPr="00000000" w14:paraId="000000D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rtl w:val="0"/>
      </w:rPr>
      <w:t xml:space="preserve">21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644" w:hanging="359.9999999999999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2665" w:hanging="964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2665" w:hanging="964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numbering" w:styleId="WWOutlineListStyle8" w:customStyle="1">
    <w:name w:val="WW_OutlineListStyle_8"/>
    <w:basedOn w:val="NoList"/>
    <w:pPr>
      <w:numPr>
        <w:numId w:val="1"/>
      </w:numPr>
    </w:pPr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textAlignment w:val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textAlignment w:val="auto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  <w:textAlignment w:val="auto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  <w:textAlignment w:val="auto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styleId="Style1" w:customStyle="1">
    <w:name w:val="Style1"/>
    <w:basedOn w:val="ListParagraph"/>
    <w:pPr>
      <w:numPr>
        <w:numId w:val="10"/>
      </w:numPr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textAlignment w:val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  <w:textAlignment w:val="auto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5"/>
      </w:numPr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  <w:pPr>
      <w:numPr>
        <w:numId w:val="2"/>
      </w:numPr>
    </w:pPr>
  </w:style>
  <w:style w:type="numbering" w:styleId="WWOutlineListStyle6" w:customStyle="1">
    <w:name w:val="WW_OutlineListStyle_6"/>
    <w:basedOn w:val="NoList"/>
    <w:pPr>
      <w:numPr>
        <w:numId w:val="3"/>
      </w:numPr>
    </w:pPr>
  </w:style>
  <w:style w:type="numbering" w:styleId="WWOutlineListStyle5" w:customStyle="1">
    <w:name w:val="WW_OutlineListStyle_5"/>
    <w:basedOn w:val="NoList"/>
    <w:pPr>
      <w:numPr>
        <w:numId w:val="4"/>
      </w:numPr>
    </w:pPr>
  </w:style>
  <w:style w:type="numbering" w:styleId="WWOutlineListStyle4" w:customStyle="1">
    <w:name w:val="WW_OutlineListStyle_4"/>
    <w:basedOn w:val="NoList"/>
    <w:pPr>
      <w:numPr>
        <w:numId w:val="5"/>
      </w:numPr>
    </w:pPr>
  </w:style>
  <w:style w:type="numbering" w:styleId="WWOutlineListStyle3" w:customStyle="1">
    <w:name w:val="WW_OutlineListStyle_3"/>
    <w:basedOn w:val="NoList"/>
    <w:pPr>
      <w:numPr>
        <w:numId w:val="6"/>
      </w:numPr>
    </w:pPr>
  </w:style>
  <w:style w:type="numbering" w:styleId="WWOutlineListStyle2" w:customStyle="1">
    <w:name w:val="WW_OutlineListStyle_2"/>
    <w:basedOn w:val="NoList"/>
    <w:pPr>
      <w:numPr>
        <w:numId w:val="7"/>
      </w:numPr>
    </w:pPr>
  </w:style>
  <w:style w:type="numbering" w:styleId="WWOutlineListStyle1" w:customStyle="1">
    <w:name w:val="WW_OutlineListStyle_1"/>
    <w:basedOn w:val="NoList"/>
    <w:pPr>
      <w:numPr>
        <w:numId w:val="8"/>
      </w:numPr>
    </w:pPr>
  </w:style>
  <w:style w:type="numbering" w:styleId="WWOutlineListStyle" w:customStyle="1">
    <w:name w:val="WW_OutlineListStyle"/>
    <w:basedOn w:val="NoList"/>
    <w:pPr>
      <w:numPr>
        <w:numId w:val="9"/>
      </w:numPr>
    </w:pPr>
  </w:style>
  <w:style w:type="numbering" w:styleId="LFO7" w:customStyle="1">
    <w:name w:val="LFO7"/>
    <w:basedOn w:val="NoList"/>
    <w:pPr>
      <w:numPr>
        <w:numId w:val="10"/>
      </w:numPr>
    </w:pPr>
  </w:style>
  <w:style w:type="numbering" w:styleId="LFO9" w:customStyle="1">
    <w:name w:val="LFO9"/>
    <w:basedOn w:val="NoList"/>
    <w:pPr>
      <w:numPr>
        <w:numId w:val="11"/>
      </w:numPr>
    </w:pPr>
  </w:style>
  <w:style w:type="numbering" w:styleId="LFO10" w:customStyle="1">
    <w:name w:val="LFO10"/>
    <w:basedOn w:val="NoList"/>
    <w:pPr>
      <w:numPr>
        <w:numId w:val="12"/>
      </w:numPr>
    </w:pPr>
  </w:style>
  <w:style w:type="numbering" w:styleId="LFO12" w:customStyle="1">
    <w:name w:val="LFO12"/>
    <w:basedOn w:val="NoList"/>
    <w:pPr>
      <w:numPr>
        <w:numId w:val="13"/>
      </w:numPr>
    </w:pPr>
  </w:style>
  <w:style w:type="numbering" w:styleId="LFO13" w:customStyle="1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1.xml"/><Relationship Id="rId12" Type="http://schemas.openxmlformats.org/officeDocument/2006/relationships/image" Target="media/image1.png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pdmTNWVfBdjO4IV2x8dTM5wawg==">AMUW2mXBehS/ywxXzszxTWurVcdEOc8lk9PQbV8T8wlbhdEaOFSIps+hwGangDYdK7qDrG9Y3GUy5TUsOLyBmEzTMjN2paH9p71YuQwvNYuZd3T+TvTZ/k/xNt7YQFyZwcAG+0sI4B07KohY9Ma5ycGMCXivSqRJmA==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2020-12-22T17:10:00Z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